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pPr w:leftFromText="141" w:rightFromText="141" w:horzAnchor="margin" w:tblpXSpec="center" w:tblpY="-302"/>
        <w:tblW w:w="15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9"/>
        <w:gridCol w:w="2991"/>
        <w:gridCol w:w="2617"/>
        <w:gridCol w:w="3661"/>
        <w:gridCol w:w="3523"/>
      </w:tblGrid>
      <w:tr w:rsidR="00BB17FE" w:rsidTr="00942756">
        <w:trPr>
          <w:trHeight w:val="1411"/>
        </w:trPr>
        <w:tc>
          <w:tcPr>
            <w:tcW w:w="2829" w:type="dxa"/>
          </w:tcPr>
          <w:p w:rsidR="00BB17FE" w:rsidRDefault="00BB17FE" w:rsidP="00BB17FE">
            <w:pPr>
              <w:pStyle w:val="TableParagraph"/>
              <w:spacing w:before="45"/>
              <w:rPr>
                <w:b/>
                <w:sz w:val="20"/>
              </w:rPr>
            </w:pPr>
          </w:p>
          <w:p w:rsidR="00BB17FE" w:rsidRDefault="00BB17FE" w:rsidP="00BB17FE">
            <w:pPr>
              <w:pStyle w:val="TableParagraph"/>
              <w:ind w:left="549"/>
              <w:rPr>
                <w:sz w:val="20"/>
              </w:rPr>
            </w:pPr>
            <w:r>
              <w:rPr>
                <w:noProof/>
                <w:sz w:val="20"/>
                <w:lang w:eastAsia="tr-TR"/>
              </w:rPr>
              <w:drawing>
                <wp:inline distT="0" distB="0" distL="0" distR="0" wp14:anchorId="458158F0" wp14:editId="0E3DC402">
                  <wp:extent cx="946854" cy="981265"/>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 cstate="print"/>
                          <a:stretch>
                            <a:fillRect/>
                          </a:stretch>
                        </pic:blipFill>
                        <pic:spPr>
                          <a:xfrm>
                            <a:off x="0" y="0"/>
                            <a:ext cx="946854" cy="981265"/>
                          </a:xfrm>
                          <a:prstGeom prst="rect">
                            <a:avLst/>
                          </a:prstGeom>
                        </pic:spPr>
                      </pic:pic>
                    </a:graphicData>
                  </a:graphic>
                </wp:inline>
              </w:drawing>
            </w:r>
          </w:p>
        </w:tc>
        <w:tc>
          <w:tcPr>
            <w:tcW w:w="9269" w:type="dxa"/>
            <w:gridSpan w:val="3"/>
          </w:tcPr>
          <w:p w:rsidR="00BB17FE" w:rsidRDefault="00BB17FE" w:rsidP="00942756">
            <w:pPr>
              <w:pStyle w:val="TableParagraph"/>
              <w:rPr>
                <w:b/>
              </w:rPr>
            </w:pPr>
          </w:p>
          <w:p w:rsidR="00BB17FE" w:rsidRPr="00942756" w:rsidRDefault="00BB17FE" w:rsidP="00942756">
            <w:pPr>
              <w:pStyle w:val="TableParagraph"/>
              <w:ind w:left="32" w:right="24"/>
              <w:jc w:val="center"/>
              <w:rPr>
                <w:b/>
                <w:sz w:val="28"/>
                <w:szCs w:val="28"/>
              </w:rPr>
            </w:pPr>
            <w:r w:rsidRPr="00942756">
              <w:rPr>
                <w:b/>
                <w:spacing w:val="-4"/>
                <w:sz w:val="28"/>
                <w:szCs w:val="28"/>
              </w:rPr>
              <w:t>T.C.</w:t>
            </w:r>
          </w:p>
          <w:p w:rsidR="00BB17FE" w:rsidRPr="00942756" w:rsidRDefault="00BB17FE" w:rsidP="00942756">
            <w:pPr>
              <w:pStyle w:val="TableParagraph"/>
              <w:spacing w:line="252" w:lineRule="exact"/>
              <w:ind w:left="35" w:right="23"/>
              <w:jc w:val="center"/>
              <w:rPr>
                <w:b/>
                <w:sz w:val="28"/>
                <w:szCs w:val="28"/>
              </w:rPr>
            </w:pPr>
            <w:r w:rsidRPr="00942756">
              <w:rPr>
                <w:b/>
                <w:sz w:val="28"/>
                <w:szCs w:val="28"/>
              </w:rPr>
              <w:t>SAĞLIK</w:t>
            </w:r>
            <w:r w:rsidRPr="00942756">
              <w:rPr>
                <w:b/>
                <w:spacing w:val="-5"/>
                <w:sz w:val="28"/>
                <w:szCs w:val="28"/>
              </w:rPr>
              <w:t xml:space="preserve"> </w:t>
            </w:r>
            <w:r w:rsidRPr="00942756">
              <w:rPr>
                <w:b/>
                <w:spacing w:val="-2"/>
                <w:sz w:val="28"/>
                <w:szCs w:val="28"/>
              </w:rPr>
              <w:t>BAKANLIĞI</w:t>
            </w:r>
          </w:p>
          <w:p w:rsidR="00BB17FE" w:rsidRPr="00942756" w:rsidRDefault="00BB17FE" w:rsidP="00942756">
            <w:pPr>
              <w:pStyle w:val="TableParagraph"/>
              <w:ind w:left="32" w:right="23"/>
              <w:jc w:val="center"/>
              <w:rPr>
                <w:b/>
                <w:sz w:val="28"/>
                <w:szCs w:val="28"/>
              </w:rPr>
            </w:pPr>
            <w:r w:rsidRPr="00942756">
              <w:rPr>
                <w:b/>
                <w:sz w:val="28"/>
                <w:szCs w:val="28"/>
              </w:rPr>
              <w:t>TÜRKİYE</w:t>
            </w:r>
            <w:r w:rsidRPr="00942756">
              <w:rPr>
                <w:b/>
                <w:spacing w:val="-10"/>
                <w:sz w:val="28"/>
                <w:szCs w:val="28"/>
              </w:rPr>
              <w:t xml:space="preserve"> </w:t>
            </w:r>
            <w:r w:rsidRPr="00942756">
              <w:rPr>
                <w:b/>
                <w:sz w:val="28"/>
                <w:szCs w:val="28"/>
              </w:rPr>
              <w:t>HUDUT</w:t>
            </w:r>
            <w:r w:rsidRPr="00942756">
              <w:rPr>
                <w:b/>
                <w:spacing w:val="-7"/>
                <w:sz w:val="28"/>
                <w:szCs w:val="28"/>
              </w:rPr>
              <w:t xml:space="preserve"> </w:t>
            </w:r>
            <w:r w:rsidRPr="00942756">
              <w:rPr>
                <w:b/>
                <w:sz w:val="28"/>
                <w:szCs w:val="28"/>
              </w:rPr>
              <w:t>VE</w:t>
            </w:r>
            <w:r w:rsidRPr="00942756">
              <w:rPr>
                <w:b/>
                <w:spacing w:val="-7"/>
                <w:sz w:val="28"/>
                <w:szCs w:val="28"/>
              </w:rPr>
              <w:t xml:space="preserve"> </w:t>
            </w:r>
            <w:r w:rsidRPr="00942756">
              <w:rPr>
                <w:b/>
                <w:sz w:val="28"/>
                <w:szCs w:val="28"/>
              </w:rPr>
              <w:t>SAHİLLER</w:t>
            </w:r>
            <w:r w:rsidRPr="00942756">
              <w:rPr>
                <w:b/>
                <w:spacing w:val="40"/>
                <w:sz w:val="28"/>
                <w:szCs w:val="28"/>
              </w:rPr>
              <w:t xml:space="preserve"> </w:t>
            </w:r>
            <w:r w:rsidRPr="00942756">
              <w:rPr>
                <w:b/>
                <w:sz w:val="28"/>
                <w:szCs w:val="28"/>
              </w:rPr>
              <w:t>SAĞLIK</w:t>
            </w:r>
            <w:r w:rsidRPr="00942756">
              <w:rPr>
                <w:b/>
                <w:spacing w:val="-5"/>
                <w:sz w:val="28"/>
                <w:szCs w:val="28"/>
              </w:rPr>
              <w:t xml:space="preserve"> </w:t>
            </w:r>
            <w:r w:rsidRPr="00942756">
              <w:rPr>
                <w:b/>
                <w:sz w:val="28"/>
                <w:szCs w:val="28"/>
              </w:rPr>
              <w:t xml:space="preserve">GENEL </w:t>
            </w:r>
            <w:r w:rsidRPr="00942756">
              <w:rPr>
                <w:b/>
                <w:spacing w:val="-2"/>
                <w:sz w:val="28"/>
                <w:szCs w:val="28"/>
              </w:rPr>
              <w:t>MÜDÜRLÜĞÜ</w:t>
            </w:r>
          </w:p>
          <w:p w:rsidR="00BB17FE" w:rsidRDefault="00BB17FE" w:rsidP="00942756">
            <w:pPr>
              <w:pStyle w:val="TableParagraph"/>
              <w:ind w:left="57"/>
              <w:jc w:val="center"/>
              <w:rPr>
                <w:b/>
              </w:rPr>
            </w:pPr>
            <w:r w:rsidRPr="00942756">
              <w:rPr>
                <w:b/>
                <w:sz w:val="28"/>
                <w:szCs w:val="28"/>
                <w:lang w:eastAsia="ar-SA"/>
              </w:rPr>
              <w:t>AMBAR VE DEPOLARDA GÜVENLİ ÇALIŞMA TALİMATI</w:t>
            </w:r>
          </w:p>
        </w:tc>
        <w:tc>
          <w:tcPr>
            <w:tcW w:w="3523" w:type="dxa"/>
          </w:tcPr>
          <w:p w:rsidR="00BB17FE" w:rsidRDefault="00BB17FE" w:rsidP="00BB17FE">
            <w:pPr>
              <w:pStyle w:val="TableParagraph"/>
              <w:spacing w:before="45"/>
              <w:rPr>
                <w:b/>
                <w:sz w:val="20"/>
              </w:rPr>
            </w:pPr>
          </w:p>
          <w:p w:rsidR="00BB17FE" w:rsidRDefault="00BB17FE" w:rsidP="00BB17FE">
            <w:pPr>
              <w:pStyle w:val="TableParagraph"/>
              <w:ind w:left="756"/>
              <w:rPr>
                <w:sz w:val="20"/>
              </w:rPr>
            </w:pPr>
            <w:r>
              <w:rPr>
                <w:noProof/>
                <w:sz w:val="20"/>
                <w:lang w:eastAsia="tr-TR"/>
              </w:rPr>
              <w:drawing>
                <wp:inline distT="0" distB="0" distL="0" distR="0" wp14:anchorId="72954BE0" wp14:editId="648CD7B2">
                  <wp:extent cx="1109604" cy="952976"/>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6" cstate="print"/>
                          <a:stretch>
                            <a:fillRect/>
                          </a:stretch>
                        </pic:blipFill>
                        <pic:spPr>
                          <a:xfrm>
                            <a:off x="0" y="0"/>
                            <a:ext cx="1109604" cy="952976"/>
                          </a:xfrm>
                          <a:prstGeom prst="rect">
                            <a:avLst/>
                          </a:prstGeom>
                        </pic:spPr>
                      </pic:pic>
                    </a:graphicData>
                  </a:graphic>
                </wp:inline>
              </w:drawing>
            </w:r>
          </w:p>
        </w:tc>
      </w:tr>
      <w:tr w:rsidR="00BB17FE" w:rsidTr="00942756">
        <w:trPr>
          <w:trHeight w:val="271"/>
        </w:trPr>
        <w:tc>
          <w:tcPr>
            <w:tcW w:w="2829" w:type="dxa"/>
          </w:tcPr>
          <w:p w:rsidR="00BB17FE" w:rsidRDefault="00BB17FE" w:rsidP="00BB17FE">
            <w:pPr>
              <w:pStyle w:val="TableParagraph"/>
              <w:spacing w:before="1"/>
              <w:rPr>
                <w:sz w:val="18"/>
              </w:rPr>
            </w:pPr>
          </w:p>
          <w:p w:rsidR="00BB17FE" w:rsidRDefault="00BB17FE" w:rsidP="00BB17FE">
            <w:pPr>
              <w:pStyle w:val="TableParagraph"/>
              <w:ind w:left="333"/>
              <w:rPr>
                <w:b/>
                <w:sz w:val="18"/>
              </w:rPr>
            </w:pPr>
            <w:proofErr w:type="spellStart"/>
            <w:r>
              <w:rPr>
                <w:b/>
                <w:sz w:val="18"/>
              </w:rPr>
              <w:t>Doküman</w:t>
            </w:r>
            <w:proofErr w:type="spellEnd"/>
            <w:r>
              <w:rPr>
                <w:b/>
                <w:spacing w:val="-5"/>
                <w:sz w:val="18"/>
              </w:rPr>
              <w:t xml:space="preserve"> </w:t>
            </w:r>
            <w:r>
              <w:rPr>
                <w:b/>
                <w:sz w:val="18"/>
              </w:rPr>
              <w:t>No:</w:t>
            </w:r>
            <w:r>
              <w:rPr>
                <w:b/>
                <w:spacing w:val="-2"/>
                <w:sz w:val="18"/>
              </w:rPr>
              <w:t xml:space="preserve"> </w:t>
            </w:r>
            <w:r>
              <w:rPr>
                <w:b/>
                <w:spacing w:val="-5"/>
                <w:sz w:val="18"/>
              </w:rPr>
              <w:t>1</w:t>
            </w:r>
          </w:p>
        </w:tc>
        <w:tc>
          <w:tcPr>
            <w:tcW w:w="2991" w:type="dxa"/>
          </w:tcPr>
          <w:p w:rsidR="00BB17FE" w:rsidRDefault="00BB17FE" w:rsidP="00BB17FE">
            <w:pPr>
              <w:pStyle w:val="TableParagraph"/>
              <w:spacing w:before="1"/>
              <w:rPr>
                <w:sz w:val="18"/>
              </w:rPr>
            </w:pPr>
          </w:p>
          <w:p w:rsidR="00BB17FE" w:rsidRDefault="00BB17FE" w:rsidP="00BB17FE">
            <w:pPr>
              <w:pStyle w:val="TableParagraph"/>
              <w:ind w:left="242"/>
              <w:rPr>
                <w:b/>
                <w:sz w:val="18"/>
              </w:rPr>
            </w:pPr>
            <w:proofErr w:type="spellStart"/>
            <w:r>
              <w:rPr>
                <w:b/>
                <w:sz w:val="18"/>
              </w:rPr>
              <w:t>Yayım</w:t>
            </w:r>
            <w:proofErr w:type="spellEnd"/>
            <w:r>
              <w:rPr>
                <w:b/>
                <w:spacing w:val="-6"/>
                <w:sz w:val="18"/>
              </w:rPr>
              <w:t xml:space="preserve"> </w:t>
            </w:r>
            <w:proofErr w:type="spellStart"/>
            <w:r>
              <w:rPr>
                <w:b/>
                <w:sz w:val="18"/>
              </w:rPr>
              <w:t>Tarihi</w:t>
            </w:r>
            <w:proofErr w:type="spellEnd"/>
            <w:r>
              <w:rPr>
                <w:b/>
                <w:spacing w:val="2"/>
                <w:sz w:val="18"/>
              </w:rPr>
              <w:t xml:space="preserve"> </w:t>
            </w:r>
            <w:r>
              <w:rPr>
                <w:b/>
                <w:spacing w:val="-2"/>
                <w:sz w:val="18"/>
              </w:rPr>
              <w:t>28.08.2026</w:t>
            </w:r>
          </w:p>
        </w:tc>
        <w:tc>
          <w:tcPr>
            <w:tcW w:w="2617" w:type="dxa"/>
          </w:tcPr>
          <w:p w:rsidR="00BB17FE" w:rsidRDefault="00BB17FE" w:rsidP="00BB17FE">
            <w:pPr>
              <w:pStyle w:val="TableParagraph"/>
              <w:spacing w:before="105"/>
              <w:ind w:left="578" w:right="351" w:hanging="216"/>
              <w:rPr>
                <w:b/>
                <w:sz w:val="18"/>
              </w:rPr>
            </w:pPr>
            <w:proofErr w:type="spellStart"/>
            <w:r>
              <w:rPr>
                <w:b/>
                <w:sz w:val="18"/>
              </w:rPr>
              <w:t>Revizyon</w:t>
            </w:r>
            <w:proofErr w:type="spellEnd"/>
            <w:r>
              <w:rPr>
                <w:b/>
                <w:spacing w:val="-12"/>
                <w:sz w:val="18"/>
              </w:rPr>
              <w:t xml:space="preserve"> </w:t>
            </w:r>
            <w:proofErr w:type="spellStart"/>
            <w:r>
              <w:rPr>
                <w:b/>
                <w:sz w:val="18"/>
              </w:rPr>
              <w:t>Tarihi</w:t>
            </w:r>
            <w:proofErr w:type="spellEnd"/>
            <w:r>
              <w:rPr>
                <w:b/>
                <w:sz w:val="18"/>
              </w:rPr>
              <w:t xml:space="preserve"> </w:t>
            </w:r>
            <w:r>
              <w:rPr>
                <w:b/>
                <w:spacing w:val="-2"/>
                <w:sz w:val="18"/>
              </w:rPr>
              <w:t>28.08.2026</w:t>
            </w:r>
          </w:p>
        </w:tc>
        <w:tc>
          <w:tcPr>
            <w:tcW w:w="3661" w:type="dxa"/>
          </w:tcPr>
          <w:p w:rsidR="00BB17FE" w:rsidRDefault="00BB17FE" w:rsidP="00BB17FE">
            <w:pPr>
              <w:pStyle w:val="TableParagraph"/>
              <w:spacing w:before="1"/>
              <w:rPr>
                <w:sz w:val="18"/>
              </w:rPr>
            </w:pPr>
          </w:p>
          <w:p w:rsidR="00BB17FE" w:rsidRDefault="00BB17FE" w:rsidP="00BB17FE">
            <w:pPr>
              <w:pStyle w:val="TableParagraph"/>
              <w:ind w:left="281"/>
              <w:rPr>
                <w:b/>
                <w:sz w:val="18"/>
              </w:rPr>
            </w:pPr>
            <w:proofErr w:type="spellStart"/>
            <w:r>
              <w:rPr>
                <w:b/>
                <w:sz w:val="18"/>
              </w:rPr>
              <w:t>Revizyon</w:t>
            </w:r>
            <w:proofErr w:type="spellEnd"/>
            <w:r>
              <w:rPr>
                <w:b/>
                <w:spacing w:val="-6"/>
                <w:sz w:val="18"/>
              </w:rPr>
              <w:t xml:space="preserve"> </w:t>
            </w:r>
            <w:proofErr w:type="spellStart"/>
            <w:r>
              <w:rPr>
                <w:b/>
                <w:sz w:val="18"/>
              </w:rPr>
              <w:t>Numarası</w:t>
            </w:r>
            <w:proofErr w:type="spellEnd"/>
            <w:r>
              <w:rPr>
                <w:b/>
                <w:spacing w:val="-4"/>
                <w:sz w:val="18"/>
              </w:rPr>
              <w:t xml:space="preserve"> </w:t>
            </w:r>
            <w:r>
              <w:rPr>
                <w:b/>
                <w:spacing w:val="-5"/>
                <w:sz w:val="18"/>
              </w:rPr>
              <w:t>01</w:t>
            </w:r>
          </w:p>
        </w:tc>
        <w:tc>
          <w:tcPr>
            <w:tcW w:w="3523" w:type="dxa"/>
          </w:tcPr>
          <w:p w:rsidR="00BB17FE" w:rsidRDefault="00BB17FE" w:rsidP="00BB17FE">
            <w:pPr>
              <w:pStyle w:val="TableParagraph"/>
              <w:spacing w:before="105"/>
              <w:ind w:left="526" w:right="287" w:hanging="226"/>
              <w:rPr>
                <w:b/>
                <w:sz w:val="18"/>
              </w:rPr>
            </w:pPr>
            <w:proofErr w:type="spellStart"/>
            <w:r>
              <w:rPr>
                <w:b/>
                <w:sz w:val="18"/>
              </w:rPr>
              <w:t>Sayfa</w:t>
            </w:r>
            <w:proofErr w:type="spellEnd"/>
            <w:r>
              <w:rPr>
                <w:b/>
                <w:spacing w:val="-12"/>
                <w:sz w:val="18"/>
              </w:rPr>
              <w:t xml:space="preserve"> </w:t>
            </w:r>
            <w:r>
              <w:rPr>
                <w:b/>
                <w:sz w:val="18"/>
              </w:rPr>
              <w:t>No/</w:t>
            </w:r>
            <w:proofErr w:type="spellStart"/>
            <w:r>
              <w:rPr>
                <w:b/>
                <w:sz w:val="18"/>
              </w:rPr>
              <w:t>Sayfa</w:t>
            </w:r>
            <w:proofErr w:type="spellEnd"/>
            <w:r>
              <w:rPr>
                <w:b/>
                <w:sz w:val="18"/>
              </w:rPr>
              <w:t xml:space="preserve"> </w:t>
            </w:r>
            <w:proofErr w:type="spellStart"/>
            <w:r>
              <w:rPr>
                <w:b/>
                <w:sz w:val="18"/>
              </w:rPr>
              <w:t>Sayısı</w:t>
            </w:r>
            <w:proofErr w:type="spellEnd"/>
            <w:r>
              <w:rPr>
                <w:b/>
                <w:sz w:val="18"/>
              </w:rPr>
              <w:t xml:space="preserve"> 1/1</w:t>
            </w:r>
          </w:p>
        </w:tc>
      </w:tr>
    </w:tbl>
    <w:p w:rsidR="008428F4" w:rsidRPr="00C7385E" w:rsidRDefault="008428F4">
      <w:pPr>
        <w:rPr>
          <w:sz w:val="24"/>
          <w:szCs w:val="25"/>
        </w:rPr>
      </w:pPr>
    </w:p>
    <w:p w:rsidR="00942756" w:rsidRPr="00C7385E" w:rsidRDefault="00942756" w:rsidP="00C7385E">
      <w:pPr>
        <w:ind w:left="-709" w:right="-880"/>
        <w:jc w:val="both"/>
        <w:rPr>
          <w:sz w:val="25"/>
          <w:szCs w:val="25"/>
        </w:rPr>
      </w:pPr>
      <w:r w:rsidRPr="00C7385E">
        <w:rPr>
          <w:b/>
          <w:color w:val="FF0000"/>
          <w:sz w:val="25"/>
          <w:szCs w:val="25"/>
        </w:rPr>
        <w:t>1-</w:t>
      </w:r>
      <w:r w:rsidRPr="00C7385E">
        <w:rPr>
          <w:sz w:val="25"/>
          <w:szCs w:val="25"/>
        </w:rPr>
        <w:t xml:space="preserve">Yerleri daima temiz tutulmalıdır. </w:t>
      </w:r>
    </w:p>
    <w:p w:rsidR="00942756" w:rsidRPr="00C7385E" w:rsidRDefault="00942756" w:rsidP="00C7385E">
      <w:pPr>
        <w:ind w:left="-709" w:right="-880"/>
        <w:jc w:val="both"/>
        <w:rPr>
          <w:sz w:val="25"/>
          <w:szCs w:val="25"/>
        </w:rPr>
      </w:pPr>
      <w:r w:rsidRPr="00C7385E">
        <w:rPr>
          <w:b/>
          <w:color w:val="FF0000"/>
          <w:sz w:val="25"/>
          <w:szCs w:val="25"/>
        </w:rPr>
        <w:t>2-</w:t>
      </w:r>
      <w:r w:rsidRPr="00C7385E">
        <w:rPr>
          <w:sz w:val="25"/>
          <w:szCs w:val="25"/>
        </w:rPr>
        <w:t>Ateş yakılmamalı ve sigara içilmemelidir.</w:t>
      </w:r>
    </w:p>
    <w:p w:rsidR="00942756" w:rsidRPr="00C7385E" w:rsidRDefault="00942756" w:rsidP="00C7385E">
      <w:pPr>
        <w:ind w:left="-709" w:right="-880"/>
        <w:jc w:val="both"/>
        <w:rPr>
          <w:sz w:val="25"/>
          <w:szCs w:val="25"/>
        </w:rPr>
      </w:pPr>
      <w:r w:rsidRPr="00C7385E">
        <w:rPr>
          <w:b/>
          <w:color w:val="FF0000"/>
          <w:sz w:val="25"/>
          <w:szCs w:val="25"/>
        </w:rPr>
        <w:t>3-</w:t>
      </w:r>
      <w:r w:rsidRPr="00C7385E">
        <w:rPr>
          <w:sz w:val="25"/>
          <w:szCs w:val="25"/>
        </w:rPr>
        <w:t xml:space="preserve">Ambar ve depoların giriş, çıkış kapıları, yangın söndürme cihazlarının bulunduğu yerler, su alma yerleri, ilkyardım malzemelerinin bulunduğu yerler, </w:t>
      </w:r>
      <w:bookmarkStart w:id="0" w:name="_GoBack"/>
      <w:bookmarkEnd w:id="0"/>
      <w:r w:rsidRPr="00C7385E">
        <w:rPr>
          <w:sz w:val="25"/>
          <w:szCs w:val="25"/>
        </w:rPr>
        <w:t>elektrik panosunun bulunduğu yerler herhangi bir nedenle kapatılmamalıdır.</w:t>
      </w:r>
    </w:p>
    <w:p w:rsidR="00942756" w:rsidRPr="00C7385E" w:rsidRDefault="00942756" w:rsidP="00C7385E">
      <w:pPr>
        <w:ind w:left="-709" w:right="-880"/>
        <w:jc w:val="both"/>
        <w:rPr>
          <w:sz w:val="25"/>
          <w:szCs w:val="25"/>
        </w:rPr>
      </w:pPr>
      <w:r w:rsidRPr="00C7385E">
        <w:rPr>
          <w:b/>
          <w:color w:val="FF0000"/>
          <w:sz w:val="25"/>
          <w:szCs w:val="25"/>
        </w:rPr>
        <w:t>4-</w:t>
      </w:r>
      <w:r w:rsidRPr="00C7385E">
        <w:rPr>
          <w:color w:val="FF0000"/>
          <w:sz w:val="25"/>
          <w:szCs w:val="25"/>
        </w:rPr>
        <w:t xml:space="preserve"> </w:t>
      </w:r>
      <w:r w:rsidRPr="00C7385E">
        <w:rPr>
          <w:sz w:val="25"/>
          <w:szCs w:val="25"/>
        </w:rPr>
        <w:t>Görevliden başkasının arşiv, ambar, depo vb. yerlere girmesi engellenmelidir.</w:t>
      </w:r>
    </w:p>
    <w:p w:rsidR="00942756" w:rsidRPr="00C7385E" w:rsidRDefault="00942756" w:rsidP="00C7385E">
      <w:pPr>
        <w:ind w:left="-709" w:right="-880"/>
        <w:jc w:val="both"/>
        <w:rPr>
          <w:sz w:val="25"/>
          <w:szCs w:val="25"/>
        </w:rPr>
      </w:pPr>
      <w:r w:rsidRPr="00C7385E">
        <w:rPr>
          <w:b/>
          <w:color w:val="FF0000"/>
          <w:sz w:val="25"/>
          <w:szCs w:val="25"/>
        </w:rPr>
        <w:t>5-</w:t>
      </w:r>
      <w:r w:rsidRPr="00C7385E">
        <w:rPr>
          <w:sz w:val="25"/>
          <w:szCs w:val="25"/>
        </w:rPr>
        <w:t>Elektrikle ilgili tehlikeli bir durum (yalıtılmamış kablo, yerinden çıkmış priz vb.) tespit edildiğinde, müdahale edilmemeli, birim amirine haber verilmelidir.</w:t>
      </w:r>
    </w:p>
    <w:p w:rsidR="00942756" w:rsidRPr="00C7385E" w:rsidRDefault="00942756" w:rsidP="00C7385E">
      <w:pPr>
        <w:ind w:left="-709" w:right="-880"/>
        <w:jc w:val="both"/>
        <w:rPr>
          <w:sz w:val="25"/>
          <w:szCs w:val="25"/>
        </w:rPr>
      </w:pPr>
      <w:r w:rsidRPr="00C7385E">
        <w:rPr>
          <w:b/>
          <w:color w:val="FF0000"/>
          <w:sz w:val="25"/>
          <w:szCs w:val="25"/>
        </w:rPr>
        <w:t>6-</w:t>
      </w:r>
      <w:r w:rsidRPr="00C7385E">
        <w:rPr>
          <w:sz w:val="25"/>
          <w:szCs w:val="25"/>
        </w:rPr>
        <w:t>Ambarlarda istif edilen malzemeleri; kablo, buat, anahtar, priz, lamba ve panolardan uzak tutulmalıdır.</w:t>
      </w:r>
    </w:p>
    <w:p w:rsidR="00942756" w:rsidRPr="00C7385E" w:rsidRDefault="00942756" w:rsidP="00C7385E">
      <w:pPr>
        <w:ind w:left="-709" w:right="-880"/>
        <w:jc w:val="both"/>
        <w:rPr>
          <w:sz w:val="25"/>
          <w:szCs w:val="25"/>
        </w:rPr>
      </w:pPr>
      <w:r w:rsidRPr="00C7385E">
        <w:rPr>
          <w:b/>
          <w:color w:val="FF0000"/>
          <w:sz w:val="25"/>
          <w:szCs w:val="25"/>
        </w:rPr>
        <w:t>7-</w:t>
      </w:r>
      <w:r w:rsidRPr="00C7385E">
        <w:rPr>
          <w:sz w:val="25"/>
          <w:szCs w:val="25"/>
        </w:rPr>
        <w:t xml:space="preserve">Elektrik panosu vb. elektrikli aksamlarına su veya diğer sıvıların teması engellenmelidir. </w:t>
      </w:r>
    </w:p>
    <w:p w:rsidR="00942756" w:rsidRPr="00C7385E" w:rsidRDefault="00942756" w:rsidP="00C7385E">
      <w:pPr>
        <w:ind w:left="-709" w:right="-880"/>
        <w:jc w:val="both"/>
        <w:rPr>
          <w:sz w:val="25"/>
          <w:szCs w:val="25"/>
        </w:rPr>
      </w:pPr>
      <w:r w:rsidRPr="00C7385E">
        <w:rPr>
          <w:b/>
          <w:color w:val="FF0000"/>
          <w:sz w:val="25"/>
          <w:szCs w:val="25"/>
        </w:rPr>
        <w:t>8-</w:t>
      </w:r>
      <w:r w:rsidRPr="00C7385E">
        <w:rPr>
          <w:sz w:val="25"/>
          <w:szCs w:val="25"/>
        </w:rPr>
        <w:t xml:space="preserve">Tercihen çelik raf ve dolap kullanılmalı ve duvara sabitlenmesi sağlanmalıdır. </w:t>
      </w:r>
    </w:p>
    <w:p w:rsidR="00942756" w:rsidRPr="00C7385E" w:rsidRDefault="00942756" w:rsidP="00C7385E">
      <w:pPr>
        <w:ind w:left="-709" w:right="-880"/>
        <w:jc w:val="both"/>
        <w:rPr>
          <w:sz w:val="25"/>
          <w:szCs w:val="25"/>
        </w:rPr>
      </w:pPr>
      <w:r w:rsidRPr="00C7385E">
        <w:rPr>
          <w:b/>
          <w:color w:val="FF0000"/>
          <w:sz w:val="25"/>
          <w:szCs w:val="25"/>
        </w:rPr>
        <w:t>9-</w:t>
      </w:r>
      <w:r w:rsidRPr="00C7385E">
        <w:rPr>
          <w:sz w:val="25"/>
          <w:szCs w:val="25"/>
        </w:rPr>
        <w:t xml:space="preserve">Raflar kapasitesinin üzerinde doldurulmamalıdır. </w:t>
      </w:r>
    </w:p>
    <w:p w:rsidR="00942756" w:rsidRPr="00C7385E" w:rsidRDefault="00942756" w:rsidP="00C7385E">
      <w:pPr>
        <w:ind w:left="-709" w:right="-880"/>
        <w:jc w:val="both"/>
        <w:rPr>
          <w:sz w:val="25"/>
          <w:szCs w:val="25"/>
        </w:rPr>
      </w:pPr>
      <w:r w:rsidRPr="00C7385E">
        <w:rPr>
          <w:b/>
          <w:color w:val="FF0000"/>
          <w:sz w:val="25"/>
          <w:szCs w:val="25"/>
        </w:rPr>
        <w:t>10-</w:t>
      </w:r>
      <w:r w:rsidRPr="00C7385E">
        <w:rPr>
          <w:sz w:val="25"/>
          <w:szCs w:val="25"/>
        </w:rPr>
        <w:t xml:space="preserve">Parlayıcı ve yanıcı kimyasal maddeler güneş ısı ve ışığına karşı korunaklı, havalandırması iyi olan yerlerde depolanmalıdır. </w:t>
      </w:r>
    </w:p>
    <w:p w:rsidR="00942756" w:rsidRPr="00C7385E" w:rsidRDefault="00942756" w:rsidP="00C7385E">
      <w:pPr>
        <w:ind w:left="-709" w:right="-880"/>
        <w:jc w:val="both"/>
        <w:rPr>
          <w:sz w:val="25"/>
          <w:szCs w:val="25"/>
        </w:rPr>
      </w:pPr>
      <w:r w:rsidRPr="00C7385E">
        <w:rPr>
          <w:b/>
          <w:color w:val="FF0000"/>
          <w:sz w:val="25"/>
          <w:szCs w:val="25"/>
        </w:rPr>
        <w:t>11-</w:t>
      </w:r>
      <w:r w:rsidRPr="00C7385E">
        <w:rPr>
          <w:sz w:val="25"/>
          <w:szCs w:val="25"/>
        </w:rPr>
        <w:t>Depolarda gerekli güvenlik önlemi alınmadan bakım ve temizlik işleri yapılmamalıdır.</w:t>
      </w:r>
    </w:p>
    <w:p w:rsidR="00C7385E" w:rsidRPr="00C7385E" w:rsidRDefault="00942756" w:rsidP="00C7385E">
      <w:pPr>
        <w:ind w:left="-709" w:right="-880"/>
        <w:jc w:val="both"/>
        <w:rPr>
          <w:sz w:val="25"/>
          <w:szCs w:val="25"/>
        </w:rPr>
      </w:pPr>
      <w:r w:rsidRPr="00C7385E">
        <w:rPr>
          <w:b/>
          <w:color w:val="FF0000"/>
          <w:sz w:val="25"/>
          <w:szCs w:val="25"/>
        </w:rPr>
        <w:t>12-</w:t>
      </w:r>
      <w:r w:rsidRPr="00C7385E">
        <w:rPr>
          <w:sz w:val="25"/>
          <w:szCs w:val="25"/>
        </w:rPr>
        <w:t>Giriş-çıkış kapıları, acil çıkış kapıları, yangın söndürme cihazları, itfaiye su alma ağızları (hortum bağlantı vanalarının) ve ilkyardım malzemelerinin bulunduğu yerler ile merdivenlerde, koridor ve geçitlerde geçişi engelleyecek malzeme bulundurulmamalıdır.</w:t>
      </w:r>
      <w:r w:rsidRPr="00C7385E">
        <w:rPr>
          <w:sz w:val="25"/>
          <w:szCs w:val="25"/>
        </w:rPr>
        <w:tab/>
      </w:r>
    </w:p>
    <w:p w:rsidR="00942756" w:rsidRPr="00C7385E" w:rsidRDefault="00942756" w:rsidP="00C7385E">
      <w:pPr>
        <w:ind w:left="-709" w:right="-880"/>
        <w:jc w:val="both"/>
        <w:rPr>
          <w:sz w:val="25"/>
          <w:szCs w:val="25"/>
        </w:rPr>
      </w:pPr>
      <w:r w:rsidRPr="00C7385E">
        <w:rPr>
          <w:b/>
          <w:color w:val="FF0000"/>
          <w:sz w:val="25"/>
          <w:szCs w:val="25"/>
        </w:rPr>
        <w:t>13-</w:t>
      </w:r>
      <w:r w:rsidRPr="00C7385E">
        <w:rPr>
          <w:sz w:val="25"/>
          <w:szCs w:val="25"/>
        </w:rPr>
        <w:t>Seyyar ve taşınabilir yangın söndürme cihazları ile yangın söndürme tesisatının en az yılda bir kez periyodik kontrole tabi tutulmasını sağlanmalıdır.</w:t>
      </w:r>
    </w:p>
    <w:p w:rsidR="00942756" w:rsidRPr="00C7385E" w:rsidRDefault="00942756" w:rsidP="00C7385E">
      <w:pPr>
        <w:ind w:left="-709" w:right="-880"/>
        <w:jc w:val="both"/>
        <w:rPr>
          <w:sz w:val="25"/>
          <w:szCs w:val="25"/>
        </w:rPr>
      </w:pPr>
      <w:r w:rsidRPr="00C7385E">
        <w:rPr>
          <w:b/>
          <w:color w:val="FF0000"/>
          <w:sz w:val="25"/>
          <w:szCs w:val="25"/>
        </w:rPr>
        <w:t>14-</w:t>
      </w:r>
      <w:r w:rsidRPr="00C7385E">
        <w:rPr>
          <w:color w:val="FF0000"/>
          <w:sz w:val="25"/>
          <w:szCs w:val="25"/>
        </w:rPr>
        <w:t xml:space="preserve"> </w:t>
      </w:r>
      <w:r w:rsidRPr="00C7385E">
        <w:rPr>
          <w:sz w:val="25"/>
          <w:szCs w:val="25"/>
        </w:rPr>
        <w:t>Özellik arz eden madde ve malzemeleri taşıma, yükleme ve boşaltılma sırasında, ait olduğu özel talimatına ve özel emniyet kurallarına uyulmalıdır.</w:t>
      </w:r>
    </w:p>
    <w:p w:rsidR="00942756" w:rsidRPr="00C7385E" w:rsidRDefault="00942756" w:rsidP="00C7385E">
      <w:pPr>
        <w:ind w:left="-709" w:right="-880"/>
        <w:jc w:val="both"/>
        <w:rPr>
          <w:sz w:val="25"/>
          <w:szCs w:val="25"/>
        </w:rPr>
      </w:pPr>
      <w:r w:rsidRPr="00C7385E">
        <w:rPr>
          <w:b/>
          <w:color w:val="FF0000"/>
          <w:sz w:val="25"/>
          <w:szCs w:val="25"/>
        </w:rPr>
        <w:t>15-</w:t>
      </w:r>
      <w:r w:rsidRPr="00C7385E">
        <w:rPr>
          <w:color w:val="FF0000"/>
          <w:sz w:val="25"/>
          <w:szCs w:val="25"/>
        </w:rPr>
        <w:t xml:space="preserve"> </w:t>
      </w:r>
      <w:r w:rsidRPr="00C7385E">
        <w:rPr>
          <w:sz w:val="25"/>
          <w:szCs w:val="25"/>
        </w:rPr>
        <w:t>Herhangi bir madde ve malzemeyi istiflerken, ağır ve büyük parçaların alt raflarda, küçük ve hafif parçaların üst raflarda olmasına dikkat ederek emniyetli şekilde istiflenmesi sağlanmalıdır. İstifin kendinize veya başkalarına zarar verecek şekilde yıkılması veya dağılmasına karşı gerekli destek, takviye gibi tedbirler alınmalıdır. İstiften malzeme alırken kendinize veya başkalarına zarar vermeyecek şekilde dikkatli davranılmalı ve gerekli ikaz levhaları konulmalıdır.</w:t>
      </w:r>
    </w:p>
    <w:p w:rsidR="00942756" w:rsidRPr="00C7385E" w:rsidRDefault="00942756" w:rsidP="00C7385E">
      <w:pPr>
        <w:ind w:left="-709" w:right="-880"/>
        <w:jc w:val="both"/>
        <w:rPr>
          <w:sz w:val="25"/>
          <w:szCs w:val="25"/>
        </w:rPr>
      </w:pPr>
      <w:r w:rsidRPr="00C7385E">
        <w:rPr>
          <w:b/>
          <w:color w:val="FF0000"/>
          <w:sz w:val="25"/>
          <w:szCs w:val="25"/>
        </w:rPr>
        <w:t>16-</w:t>
      </w:r>
      <w:r w:rsidRPr="00C7385E">
        <w:rPr>
          <w:color w:val="FF0000"/>
          <w:sz w:val="25"/>
          <w:szCs w:val="25"/>
        </w:rPr>
        <w:t xml:space="preserve"> </w:t>
      </w:r>
      <w:r w:rsidRPr="00C7385E">
        <w:rPr>
          <w:sz w:val="25"/>
          <w:szCs w:val="25"/>
        </w:rPr>
        <w:t>Seyyar merdivenler kullanmadan önce yeterli sağlamlıkta olup olmadığı kontrol edilerek, kayma ve devrilmelere karşı önlem alarak kullanılmalıdır. Kullanılacak seyyar merdivenin alt ayaklarının lastik takozlu, üst kısmının kancalı olmasına dikkat edilmelidir.</w:t>
      </w:r>
    </w:p>
    <w:p w:rsidR="00942756" w:rsidRPr="00C7385E" w:rsidRDefault="00942756" w:rsidP="00C7385E">
      <w:pPr>
        <w:ind w:left="-709"/>
        <w:jc w:val="both"/>
        <w:rPr>
          <w:sz w:val="25"/>
          <w:szCs w:val="25"/>
        </w:rPr>
      </w:pPr>
      <w:r w:rsidRPr="00C7385E">
        <w:rPr>
          <w:b/>
          <w:color w:val="FF0000"/>
          <w:sz w:val="25"/>
          <w:szCs w:val="25"/>
        </w:rPr>
        <w:t>17-</w:t>
      </w:r>
      <w:r w:rsidRPr="00C7385E">
        <w:rPr>
          <w:sz w:val="25"/>
          <w:szCs w:val="25"/>
        </w:rPr>
        <w:t>Rafların düşmeye karşı sabitlemesi yapılmalıdır.</w:t>
      </w:r>
    </w:p>
    <w:sectPr w:rsidR="00942756" w:rsidRPr="00C7385E" w:rsidSect="00BB17F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CF4"/>
    <w:rsid w:val="003B2CF4"/>
    <w:rsid w:val="008428F4"/>
    <w:rsid w:val="00942756"/>
    <w:rsid w:val="00BB17FE"/>
    <w:rsid w:val="00C738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62B73"/>
  <w15:chartTrackingRefBased/>
  <w15:docId w15:val="{8DBB9499-A8BC-448B-9AFD-CD87E345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B17FE"/>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BB17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B17FE"/>
  </w:style>
  <w:style w:type="table" w:styleId="TabloKlavuzu">
    <w:name w:val="Table Grid"/>
    <w:basedOn w:val="NormalTablo"/>
    <w:uiPriority w:val="39"/>
    <w:rsid w:val="00942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583A1-0C3C-4D72-BFA9-FD9D8554D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403</Words>
  <Characters>2299</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Cihat Çelebi</dc:creator>
  <cp:keywords/>
  <dc:description/>
  <cp:lastModifiedBy>Cihat Çelebi</cp:lastModifiedBy>
  <cp:revision>3</cp:revision>
  <dcterms:created xsi:type="dcterms:W3CDTF">2026-08-28T11:01:00Z</dcterms:created>
  <dcterms:modified xsi:type="dcterms:W3CDTF">2026-08-28T11:15:00Z</dcterms:modified>
</cp:coreProperties>
</file>